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Київський національний університет імені Тараса Шевченка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Радіофізичний факультет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медичної радіофізики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Звіт</w:t>
      </w:r>
    </w:p>
    <w:p w:rsidR="001833A9" w:rsidRPr="001833A9" w:rsidRDefault="001833A9" w:rsidP="001833A9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до  лабораторної  роботи №</w:t>
      </w:r>
      <w:r w:rsidRPr="001833A9">
        <w:rPr>
          <w:rFonts w:ascii="Times New Roman" w:hAnsi="Times New Roman" w:cs="Times New Roman"/>
          <w:b/>
          <w:sz w:val="48"/>
          <w:szCs w:val="48"/>
          <w:lang w:val="ru-RU"/>
        </w:rPr>
        <w:t>8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u w:val="single"/>
        </w:rPr>
        <w:t>Тема:</w:t>
      </w:r>
      <w:r>
        <w:rPr>
          <w:rFonts w:ascii="Times New Roman" w:hAnsi="Times New Roman" w:cs="Times New Roman"/>
          <w:b/>
          <w:sz w:val="48"/>
          <w:szCs w:val="48"/>
        </w:rPr>
        <w:t xml:space="preserve">  Ультразвукова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інтраскопія</w:t>
      </w:r>
      <w:proofErr w:type="spellEnd"/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Роботу виконали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студенти 4 курсу</w:t>
      </w:r>
    </w:p>
    <w:p w:rsidR="001833A9" w:rsidRDefault="001833A9" w:rsidP="001833A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Радько Катерина </w:t>
      </w:r>
    </w:p>
    <w:p w:rsidR="001833A9" w:rsidRDefault="001833A9" w:rsidP="001833A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Іжболдін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1833A9" w:rsidRPr="004D7A3D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 2012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1833A9" w:rsidRDefault="001833A9" w:rsidP="001833A9">
      <w:pPr>
        <w:ind w:left="-851"/>
        <w:rPr>
          <w:rFonts w:ascii="Times New Roman" w:hAnsi="Times New Roman" w:cs="Times New Roman"/>
          <w:sz w:val="28"/>
          <w:szCs w:val="28"/>
        </w:rPr>
      </w:pPr>
      <w:r w:rsidRPr="001833A9">
        <w:rPr>
          <w:rFonts w:ascii="Times New Roman" w:hAnsi="Times New Roman" w:cs="Times New Roman"/>
          <w:b/>
          <w:sz w:val="28"/>
          <w:szCs w:val="28"/>
        </w:rPr>
        <w:lastRenderedPageBreak/>
        <w:t>Мета</w:t>
      </w:r>
      <w:r>
        <w:rPr>
          <w:rFonts w:ascii="Times New Roman" w:hAnsi="Times New Roman" w:cs="Times New Roman"/>
          <w:sz w:val="28"/>
          <w:szCs w:val="28"/>
        </w:rPr>
        <w:t>: ознайомитися з клінічним застосуванням ультразвуку та основними методами регулювання інформативності ультразвукових зображень.</w:t>
      </w:r>
    </w:p>
    <w:p w:rsidR="001833A9" w:rsidRDefault="001833A9" w:rsidP="001833A9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виконання роботи</w:t>
      </w:r>
    </w:p>
    <w:p w:rsidR="001833A9" w:rsidRDefault="001833A9" w:rsidP="001833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Отримали ультразвукове зображення досліджуваного об’єкта</w:t>
      </w:r>
      <w:r w:rsidR="00CC6A5F">
        <w:rPr>
          <w:rFonts w:ascii="Times New Roman" w:hAnsi="Times New Roman" w:cs="Times New Roman"/>
          <w:sz w:val="28"/>
          <w:szCs w:val="28"/>
        </w:rPr>
        <w:t xml:space="preserve"> (стакана)</w:t>
      </w:r>
    </w:p>
    <w:p w:rsidR="00CC6A5F" w:rsidRDefault="00CC6A5F" w:rsidP="00CC6A5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588001" cy="4191000"/>
            <wp:effectExtent l="19050" t="0" r="0" b="0"/>
            <wp:docPr id="1" name="Рисунок 0" descr="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7887" cy="4190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5F" w:rsidRDefault="00CC6A5F" w:rsidP="00CC6A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Нанесли на поверхню датчика гель та отримали повторно зображення досліджуваного об’єкта.</w:t>
      </w:r>
    </w:p>
    <w:p w:rsidR="00CC6A5F" w:rsidRDefault="00CC6A5F" w:rsidP="00CC6A5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591175" cy="3896879"/>
            <wp:effectExtent l="19050" t="0" r="9525" b="0"/>
            <wp:docPr id="2" name="Рисунок 1" descr="1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4192" cy="38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5F" w:rsidRDefault="00B6175C" w:rsidP="00CC6A5F">
      <w:pPr>
        <w:ind w:left="-851"/>
        <w:rPr>
          <w:rFonts w:ascii="Times New Roman" w:hAnsi="Times New Roman" w:cs="Times New Roman"/>
          <w:sz w:val="28"/>
          <w:szCs w:val="28"/>
        </w:rPr>
      </w:pPr>
      <w:r w:rsidRPr="00B6175C">
        <w:rPr>
          <w:rFonts w:ascii="Times New Roman" w:hAnsi="Times New Roman" w:cs="Times New Roman"/>
          <w:sz w:val="28"/>
          <w:szCs w:val="28"/>
        </w:rPr>
        <w:lastRenderedPageBreak/>
        <w:t>При ультразвуковій діагностиці якість звукової інформації, що отримується акустичної апаратурою, багато в чому обумовлена надійністю звукового контакту на границі шкіра пацієнта - датчик - приймач ультразвукових (УЗ) коливань. Цей контакт повинен забезпечувати низьке поглинання УЗ-коливань</w:t>
      </w:r>
      <w:r>
        <w:rPr>
          <w:rFonts w:ascii="Times New Roman" w:hAnsi="Times New Roman" w:cs="Times New Roman"/>
          <w:sz w:val="28"/>
          <w:szCs w:val="28"/>
        </w:rPr>
        <w:t>. Гелеві</w:t>
      </w:r>
      <w:r w:rsidRPr="00B6175C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и служать звукопровідним</w:t>
      </w:r>
      <w:r w:rsidRPr="00B6175C">
        <w:rPr>
          <w:rFonts w:ascii="Times New Roman" w:hAnsi="Times New Roman" w:cs="Times New Roman"/>
          <w:sz w:val="28"/>
          <w:szCs w:val="28"/>
        </w:rPr>
        <w:t xml:space="preserve"> середовищем для ультразвукових досліджень.</w:t>
      </w:r>
      <w:r w:rsidRPr="00B6175C">
        <w:t xml:space="preserve"> </w:t>
      </w:r>
      <w:r w:rsidRPr="00B6175C">
        <w:rPr>
          <w:rFonts w:ascii="Times New Roman" w:hAnsi="Times New Roman" w:cs="Times New Roman"/>
          <w:sz w:val="28"/>
          <w:szCs w:val="28"/>
        </w:rPr>
        <w:t>Використання гелю необхідно для створення близького контакту, так як при наявності між датчиком і поверхнею шкіри повітр</w:t>
      </w:r>
      <w:r>
        <w:rPr>
          <w:rFonts w:ascii="Times New Roman" w:hAnsi="Times New Roman" w:cs="Times New Roman"/>
          <w:sz w:val="28"/>
          <w:szCs w:val="28"/>
        </w:rPr>
        <w:t>я зображення різко погіршується, про що свідчить перше зображення. В даному випадку бачимо значне покращення якості зображення (з використанням гелю)</w:t>
      </w:r>
    </w:p>
    <w:p w:rsidR="00B6175C" w:rsidRDefault="0092793A" w:rsidP="00B617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Дослідили всі методи керування якістю зображення. Підібрали максимальні параметри для чіткої візуалізації границь об’єкту.</w:t>
      </w:r>
    </w:p>
    <w:p w:rsidR="0092793A" w:rsidRDefault="0092793A" w:rsidP="00B617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Оцінили площу перерізу відображуваного об’єкта на ультразвуковому зобр</w:t>
      </w:r>
      <w:r w:rsidR="00BC248C">
        <w:rPr>
          <w:rFonts w:ascii="Times New Roman" w:hAnsi="Times New Roman" w:cs="Times New Roman"/>
          <w:sz w:val="28"/>
          <w:szCs w:val="28"/>
        </w:rPr>
        <w:t xml:space="preserve">аженні за допомогою </w:t>
      </w:r>
      <w:r>
        <w:rPr>
          <w:rFonts w:ascii="Times New Roman" w:hAnsi="Times New Roman" w:cs="Times New Roman"/>
          <w:sz w:val="28"/>
          <w:szCs w:val="28"/>
        </w:rPr>
        <w:t xml:space="preserve"> еліпса та «відбитка»</w:t>
      </w:r>
      <w:r w:rsidR="00BC248C">
        <w:rPr>
          <w:rFonts w:ascii="Times New Roman" w:hAnsi="Times New Roman" w:cs="Times New Roman"/>
          <w:sz w:val="28"/>
          <w:szCs w:val="28"/>
        </w:rPr>
        <w:t>. Визначили фактичне значення площі перерізу.</w:t>
      </w:r>
    </w:p>
    <w:p w:rsidR="00BC248C" w:rsidRDefault="00BC248C" w:rsidP="00BC248C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438775" cy="4079079"/>
            <wp:effectExtent l="19050" t="0" r="9525" b="0"/>
            <wp:docPr id="3" name="Рисунок 2" descr="10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219" cy="407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48C" w:rsidRDefault="00BC248C" w:rsidP="00BC248C">
      <w:pPr>
        <w:ind w:left="-85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 перерізу за допомогою  еліпса: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47,3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BC248C" w:rsidRPr="00BC248C" w:rsidRDefault="00BC248C" w:rsidP="00BC248C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5438775" cy="4079079"/>
            <wp:effectExtent l="19050" t="0" r="9525" b="0"/>
            <wp:docPr id="4" name="Рисунок 3" descr="1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2561" cy="407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5F" w:rsidRDefault="00BC248C" w:rsidP="00CC6A5F">
      <w:pPr>
        <w:ind w:left="-85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 перерізу за допомогою  «відбитка» :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47,9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BC248C" w:rsidRPr="004D7A3D" w:rsidRDefault="00BC248C" w:rsidP="00CC6A5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Фактичне значення площі перерізу: </w:t>
      </w:r>
      <w:r w:rsidR="004D7A3D" w:rsidRPr="004D7A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7A3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D7A3D" w:rsidRPr="004D7A3D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 w:rsidR="004D7A3D">
        <w:rPr>
          <w:rFonts w:ascii="Times New Roman" w:hAnsi="Times New Roman" w:cs="Times New Roman"/>
          <w:sz w:val="28"/>
          <w:szCs w:val="28"/>
          <w:lang w:val="ru-RU"/>
        </w:rPr>
        <w:t>47,15 см</w:t>
      </w:r>
      <w:r w:rsidR="004D7A3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="004D7A3D">
        <w:rPr>
          <w:rFonts w:ascii="Times New Roman" w:hAnsi="Times New Roman" w:cs="Times New Roman"/>
          <w:sz w:val="28"/>
          <w:szCs w:val="28"/>
        </w:rPr>
        <w:t xml:space="preserve"> (діаметр стакана дорівнює 7,75 см)</w:t>
      </w:r>
    </w:p>
    <w:p w:rsidR="00770F6C" w:rsidRDefault="00770F6C" w:rsidP="00770F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Дослідили залежність середньої яскравості та дисперсії в залежності від коефіцієнту підсилення на різних частотах датчика.  Побудували відповідні залежності.</w:t>
      </w:r>
    </w:p>
    <w:tbl>
      <w:tblPr>
        <w:tblStyle w:val="a6"/>
        <w:tblW w:w="0" w:type="auto"/>
        <w:tblInd w:w="-851" w:type="dxa"/>
        <w:tblLook w:val="04A0"/>
      </w:tblPr>
      <w:tblGrid>
        <w:gridCol w:w="2463"/>
        <w:gridCol w:w="2464"/>
        <w:gridCol w:w="2464"/>
        <w:gridCol w:w="2464"/>
      </w:tblGrid>
      <w:tr w:rsidR="00770F6C" w:rsidTr="00770F6C">
        <w:tc>
          <w:tcPr>
            <w:tcW w:w="2463" w:type="dxa"/>
            <w:vMerge w:val="restart"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підсилення</w:t>
            </w:r>
          </w:p>
        </w:tc>
        <w:tc>
          <w:tcPr>
            <w:tcW w:w="7392" w:type="dxa"/>
            <w:gridSpan w:val="3"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Частота,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МГц</w:t>
            </w:r>
            <w:proofErr w:type="spellEnd"/>
          </w:p>
        </w:tc>
      </w:tr>
      <w:tr w:rsidR="00770F6C" w:rsidTr="00770F6C">
        <w:tc>
          <w:tcPr>
            <w:tcW w:w="2463" w:type="dxa"/>
            <w:vMerge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464" w:type="dxa"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464" w:type="dxa"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0F6C" w:rsidTr="00770F6C">
        <w:tc>
          <w:tcPr>
            <w:tcW w:w="2463" w:type="dxa"/>
            <w:vMerge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2" w:type="dxa"/>
            <w:gridSpan w:val="3"/>
            <w:shd w:val="clear" w:color="auto" w:fill="A6A6A6" w:themeFill="background1" w:themeFillShade="A6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Значення яскравості</w:t>
            </w:r>
          </w:p>
        </w:tc>
      </w:tr>
      <w:tr w:rsidR="00770F6C" w:rsidTr="00770F6C">
        <w:tc>
          <w:tcPr>
            <w:tcW w:w="2463" w:type="dxa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64" w:type="dxa"/>
            <w:vAlign w:val="center"/>
          </w:tcPr>
          <w:p w:rsidR="00770F6C" w:rsidRDefault="001B31B9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  <w:r w:rsidR="002B10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64" w:type="dxa"/>
            <w:vAlign w:val="center"/>
          </w:tcPr>
          <w:p w:rsidR="00770F6C" w:rsidRDefault="00B62016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14,61</w:t>
            </w:r>
          </w:p>
        </w:tc>
        <w:tc>
          <w:tcPr>
            <w:tcW w:w="2464" w:type="dxa"/>
            <w:vAlign w:val="center"/>
          </w:tcPr>
          <w:p w:rsidR="00770F6C" w:rsidRDefault="00217D43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11,35</w:t>
            </w:r>
          </w:p>
        </w:tc>
      </w:tr>
      <w:tr w:rsidR="00770F6C" w:rsidTr="00770F6C">
        <w:tc>
          <w:tcPr>
            <w:tcW w:w="2463" w:type="dxa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64" w:type="dxa"/>
            <w:vAlign w:val="center"/>
          </w:tcPr>
          <w:p w:rsidR="00770F6C" w:rsidRDefault="002B109E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22,87</w:t>
            </w:r>
          </w:p>
        </w:tc>
        <w:tc>
          <w:tcPr>
            <w:tcW w:w="2464" w:type="dxa"/>
            <w:vAlign w:val="center"/>
          </w:tcPr>
          <w:p w:rsidR="00770F6C" w:rsidRDefault="00217D43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24,03</w:t>
            </w:r>
          </w:p>
        </w:tc>
        <w:tc>
          <w:tcPr>
            <w:tcW w:w="2464" w:type="dxa"/>
            <w:vAlign w:val="center"/>
          </w:tcPr>
          <w:p w:rsidR="00770F6C" w:rsidRDefault="00094079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770F6C" w:rsidTr="00770F6C">
        <w:tc>
          <w:tcPr>
            <w:tcW w:w="2463" w:type="dxa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64" w:type="dxa"/>
            <w:vAlign w:val="center"/>
          </w:tcPr>
          <w:p w:rsidR="00770F6C" w:rsidRDefault="002B109E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39,92</w:t>
            </w:r>
          </w:p>
        </w:tc>
        <w:tc>
          <w:tcPr>
            <w:tcW w:w="2464" w:type="dxa"/>
            <w:vAlign w:val="center"/>
          </w:tcPr>
          <w:p w:rsidR="00770F6C" w:rsidRDefault="00217D43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42,23</w:t>
            </w:r>
          </w:p>
        </w:tc>
        <w:tc>
          <w:tcPr>
            <w:tcW w:w="2464" w:type="dxa"/>
            <w:vAlign w:val="center"/>
          </w:tcPr>
          <w:p w:rsidR="00770F6C" w:rsidRDefault="00094079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34.31</w:t>
            </w:r>
          </w:p>
        </w:tc>
      </w:tr>
      <w:tr w:rsidR="00770F6C" w:rsidTr="00770F6C">
        <w:tc>
          <w:tcPr>
            <w:tcW w:w="2463" w:type="dxa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464" w:type="dxa"/>
            <w:vAlign w:val="center"/>
          </w:tcPr>
          <w:p w:rsidR="00770F6C" w:rsidRDefault="002B109E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45,40</w:t>
            </w:r>
          </w:p>
        </w:tc>
        <w:tc>
          <w:tcPr>
            <w:tcW w:w="2464" w:type="dxa"/>
            <w:vAlign w:val="center"/>
          </w:tcPr>
          <w:p w:rsidR="00770F6C" w:rsidRDefault="00217D43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49,47</w:t>
            </w:r>
          </w:p>
        </w:tc>
        <w:tc>
          <w:tcPr>
            <w:tcW w:w="2464" w:type="dxa"/>
            <w:vAlign w:val="center"/>
          </w:tcPr>
          <w:p w:rsidR="00770F6C" w:rsidRDefault="00094079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44,63</w:t>
            </w:r>
          </w:p>
        </w:tc>
      </w:tr>
      <w:tr w:rsidR="00770F6C" w:rsidTr="00770F6C">
        <w:tc>
          <w:tcPr>
            <w:tcW w:w="2463" w:type="dxa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464" w:type="dxa"/>
            <w:vAlign w:val="center"/>
          </w:tcPr>
          <w:p w:rsidR="00770F6C" w:rsidRDefault="002B109E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74,77</w:t>
            </w:r>
          </w:p>
        </w:tc>
        <w:tc>
          <w:tcPr>
            <w:tcW w:w="2464" w:type="dxa"/>
            <w:vAlign w:val="center"/>
          </w:tcPr>
          <w:p w:rsidR="00770F6C" w:rsidRDefault="00217D43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78,88</w:t>
            </w:r>
          </w:p>
        </w:tc>
        <w:tc>
          <w:tcPr>
            <w:tcW w:w="2464" w:type="dxa"/>
            <w:vAlign w:val="center"/>
          </w:tcPr>
          <w:p w:rsidR="00770F6C" w:rsidRDefault="00094079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73,97</w:t>
            </w:r>
          </w:p>
        </w:tc>
      </w:tr>
      <w:tr w:rsidR="00770F6C" w:rsidTr="00770F6C">
        <w:tc>
          <w:tcPr>
            <w:tcW w:w="2463" w:type="dxa"/>
            <w:vAlign w:val="center"/>
          </w:tcPr>
          <w:p w:rsidR="00770F6C" w:rsidRDefault="00770F6C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464" w:type="dxa"/>
            <w:vAlign w:val="center"/>
          </w:tcPr>
          <w:p w:rsidR="00770F6C" w:rsidRDefault="00B62016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96,50</w:t>
            </w:r>
          </w:p>
        </w:tc>
        <w:tc>
          <w:tcPr>
            <w:tcW w:w="2464" w:type="dxa"/>
            <w:vAlign w:val="center"/>
          </w:tcPr>
          <w:p w:rsidR="00770F6C" w:rsidRDefault="00217D43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100,79</w:t>
            </w:r>
          </w:p>
        </w:tc>
        <w:tc>
          <w:tcPr>
            <w:tcW w:w="2464" w:type="dxa"/>
            <w:vAlign w:val="center"/>
          </w:tcPr>
          <w:p w:rsidR="00770F6C" w:rsidRDefault="00094079" w:rsidP="00770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95,52</w:t>
            </w:r>
          </w:p>
        </w:tc>
      </w:tr>
    </w:tbl>
    <w:p w:rsidR="00BC248C" w:rsidRDefault="00770F6C" w:rsidP="00770F6C">
      <w:pPr>
        <w:ind w:left="-851"/>
        <w:rPr>
          <w:rFonts w:ascii="Times New Roman" w:hAnsi="Times New Roman" w:cs="Times New Roman"/>
          <w:sz w:val="28"/>
          <w:szCs w:val="28"/>
        </w:rPr>
      </w:pPr>
      <w:r w:rsidRPr="00770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313" w:rsidRDefault="00360313" w:rsidP="00770F6C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Графік залежності середньої яскравості від коефіцієнту підсилення (для трьох різних частот):</w:t>
      </w:r>
    </w:p>
    <w:p w:rsidR="00360313" w:rsidRDefault="00360313" w:rsidP="00770F6C">
      <w:pPr>
        <w:ind w:left="-851"/>
        <w:rPr>
          <w:rFonts w:ascii="Times New Roman" w:hAnsi="Times New Roman" w:cs="Times New Roman"/>
          <w:sz w:val="28"/>
          <w:szCs w:val="28"/>
        </w:rPr>
      </w:pPr>
      <w:r w:rsidRPr="00360313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5753100" cy="299085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60313" w:rsidRPr="00770F6C" w:rsidRDefault="00360313" w:rsidP="00770F6C">
      <w:pPr>
        <w:ind w:left="-851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851" w:type="dxa"/>
        <w:tblLook w:val="04A0"/>
      </w:tblPr>
      <w:tblGrid>
        <w:gridCol w:w="2463"/>
        <w:gridCol w:w="2464"/>
        <w:gridCol w:w="2464"/>
        <w:gridCol w:w="2464"/>
      </w:tblGrid>
      <w:tr w:rsidR="001B31B9" w:rsidTr="00F52C7C">
        <w:tc>
          <w:tcPr>
            <w:tcW w:w="2463" w:type="dxa"/>
            <w:vMerge w:val="restart"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Коефіцієнт підсилення</w:t>
            </w:r>
          </w:p>
        </w:tc>
        <w:tc>
          <w:tcPr>
            <w:tcW w:w="7392" w:type="dxa"/>
            <w:gridSpan w:val="3"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Частота,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МГц</w:t>
            </w:r>
            <w:proofErr w:type="spellEnd"/>
          </w:p>
        </w:tc>
      </w:tr>
      <w:tr w:rsidR="001B31B9" w:rsidTr="00F52C7C">
        <w:tc>
          <w:tcPr>
            <w:tcW w:w="2463" w:type="dxa"/>
            <w:vMerge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464" w:type="dxa"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464" w:type="dxa"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B31B9" w:rsidTr="00F52C7C">
        <w:tc>
          <w:tcPr>
            <w:tcW w:w="2463" w:type="dxa"/>
            <w:vMerge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2" w:type="dxa"/>
            <w:gridSpan w:val="3"/>
            <w:shd w:val="clear" w:color="auto" w:fill="A6A6A6" w:themeFill="background1" w:themeFillShade="A6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Дисперсія</w:t>
            </w:r>
          </w:p>
        </w:tc>
      </w:tr>
      <w:tr w:rsidR="001B31B9" w:rsidTr="00F52C7C">
        <w:tc>
          <w:tcPr>
            <w:tcW w:w="2463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64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17,28</w:t>
            </w:r>
          </w:p>
        </w:tc>
        <w:tc>
          <w:tcPr>
            <w:tcW w:w="2464" w:type="dxa"/>
            <w:vAlign w:val="center"/>
          </w:tcPr>
          <w:p w:rsidR="001B31B9" w:rsidRDefault="00217D43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18,10</w:t>
            </w:r>
          </w:p>
        </w:tc>
        <w:tc>
          <w:tcPr>
            <w:tcW w:w="2464" w:type="dxa"/>
            <w:vAlign w:val="center"/>
          </w:tcPr>
          <w:p w:rsidR="001B31B9" w:rsidRDefault="0009407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16,88</w:t>
            </w:r>
          </w:p>
        </w:tc>
      </w:tr>
      <w:tr w:rsidR="001B31B9" w:rsidTr="00F52C7C">
        <w:tc>
          <w:tcPr>
            <w:tcW w:w="2463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64" w:type="dxa"/>
            <w:vAlign w:val="center"/>
          </w:tcPr>
          <w:p w:rsidR="001B31B9" w:rsidRDefault="002B109E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23,37</w:t>
            </w:r>
          </w:p>
        </w:tc>
        <w:tc>
          <w:tcPr>
            <w:tcW w:w="2464" w:type="dxa"/>
            <w:vAlign w:val="center"/>
          </w:tcPr>
          <w:p w:rsidR="001B31B9" w:rsidRDefault="00217D43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24,18</w:t>
            </w:r>
          </w:p>
        </w:tc>
        <w:tc>
          <w:tcPr>
            <w:tcW w:w="2464" w:type="dxa"/>
            <w:vAlign w:val="center"/>
          </w:tcPr>
          <w:p w:rsidR="001B31B9" w:rsidRDefault="0009407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23,18</w:t>
            </w:r>
          </w:p>
        </w:tc>
      </w:tr>
      <w:tr w:rsidR="001B31B9" w:rsidTr="00F52C7C">
        <w:tc>
          <w:tcPr>
            <w:tcW w:w="2463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64" w:type="dxa"/>
            <w:vAlign w:val="center"/>
          </w:tcPr>
          <w:p w:rsidR="001B31B9" w:rsidRDefault="002B109E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30,52</w:t>
            </w:r>
          </w:p>
        </w:tc>
        <w:tc>
          <w:tcPr>
            <w:tcW w:w="2464" w:type="dxa"/>
            <w:vAlign w:val="center"/>
          </w:tcPr>
          <w:p w:rsidR="001B31B9" w:rsidRDefault="00217D43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31,44</w:t>
            </w:r>
          </w:p>
        </w:tc>
        <w:tc>
          <w:tcPr>
            <w:tcW w:w="2464" w:type="dxa"/>
            <w:vAlign w:val="center"/>
          </w:tcPr>
          <w:p w:rsidR="001B31B9" w:rsidRDefault="0009407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30,78</w:t>
            </w:r>
          </w:p>
        </w:tc>
      </w:tr>
      <w:tr w:rsidR="001B31B9" w:rsidTr="00F52C7C">
        <w:tc>
          <w:tcPr>
            <w:tcW w:w="2463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464" w:type="dxa"/>
            <w:vAlign w:val="center"/>
          </w:tcPr>
          <w:p w:rsidR="001B31B9" w:rsidRDefault="002B109E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40,60</w:t>
            </w:r>
          </w:p>
        </w:tc>
        <w:tc>
          <w:tcPr>
            <w:tcW w:w="2464" w:type="dxa"/>
            <w:vAlign w:val="center"/>
          </w:tcPr>
          <w:p w:rsidR="001B31B9" w:rsidRDefault="00217D43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43,10</w:t>
            </w:r>
          </w:p>
        </w:tc>
        <w:tc>
          <w:tcPr>
            <w:tcW w:w="2464" w:type="dxa"/>
            <w:vAlign w:val="center"/>
          </w:tcPr>
          <w:p w:rsidR="001B31B9" w:rsidRDefault="0009407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39,22</w:t>
            </w:r>
          </w:p>
        </w:tc>
      </w:tr>
      <w:tr w:rsidR="001B31B9" w:rsidTr="00F52C7C">
        <w:tc>
          <w:tcPr>
            <w:tcW w:w="2463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464" w:type="dxa"/>
            <w:vAlign w:val="center"/>
          </w:tcPr>
          <w:p w:rsidR="001B31B9" w:rsidRDefault="002B109E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49,56</w:t>
            </w:r>
          </w:p>
        </w:tc>
        <w:tc>
          <w:tcPr>
            <w:tcW w:w="2464" w:type="dxa"/>
            <w:vAlign w:val="center"/>
          </w:tcPr>
          <w:p w:rsidR="001B31B9" w:rsidRDefault="00217D43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52,98</w:t>
            </w:r>
          </w:p>
        </w:tc>
        <w:tc>
          <w:tcPr>
            <w:tcW w:w="2464" w:type="dxa"/>
            <w:vAlign w:val="center"/>
          </w:tcPr>
          <w:p w:rsidR="001B31B9" w:rsidRDefault="0009407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47,52</w:t>
            </w:r>
          </w:p>
        </w:tc>
      </w:tr>
      <w:tr w:rsidR="001B31B9" w:rsidTr="00F52C7C">
        <w:tc>
          <w:tcPr>
            <w:tcW w:w="2463" w:type="dxa"/>
            <w:vAlign w:val="center"/>
          </w:tcPr>
          <w:p w:rsidR="001B31B9" w:rsidRDefault="001B31B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464" w:type="dxa"/>
            <w:vAlign w:val="center"/>
          </w:tcPr>
          <w:p w:rsidR="001B31B9" w:rsidRDefault="00B62016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57,70</w:t>
            </w:r>
          </w:p>
        </w:tc>
        <w:tc>
          <w:tcPr>
            <w:tcW w:w="2464" w:type="dxa"/>
            <w:vAlign w:val="center"/>
          </w:tcPr>
          <w:p w:rsidR="001B31B9" w:rsidRDefault="00217D43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61,28</w:t>
            </w:r>
          </w:p>
        </w:tc>
        <w:tc>
          <w:tcPr>
            <w:tcW w:w="2464" w:type="dxa"/>
            <w:vAlign w:val="center"/>
          </w:tcPr>
          <w:p w:rsidR="001B31B9" w:rsidRDefault="00094079" w:rsidP="00F52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55,96</w:t>
            </w:r>
          </w:p>
        </w:tc>
      </w:tr>
    </w:tbl>
    <w:p w:rsidR="001945BA" w:rsidRDefault="00A73035" w:rsidP="001833A9">
      <w:pPr>
        <w:ind w:left="-851"/>
      </w:pPr>
    </w:p>
    <w:p w:rsidR="00360313" w:rsidRDefault="00360313" w:rsidP="001833A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Графік залежності дисперсії від коефіцієнту підсилення:</w:t>
      </w:r>
    </w:p>
    <w:p w:rsidR="00360313" w:rsidRDefault="00360313" w:rsidP="001833A9">
      <w:pPr>
        <w:ind w:left="-851"/>
        <w:rPr>
          <w:rFonts w:ascii="Times New Roman" w:hAnsi="Times New Roman" w:cs="Times New Roman"/>
          <w:sz w:val="28"/>
          <w:szCs w:val="28"/>
        </w:rPr>
      </w:pPr>
      <w:r w:rsidRPr="00360313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6172200" cy="3133725"/>
            <wp:effectExtent l="19050" t="0" r="1905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96945" w:rsidRDefault="00360313" w:rsidP="00B96945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Бачимо, що зі збільшенням коефіцієнту підсилення значення яскравості зростає.</w:t>
      </w:r>
    </w:p>
    <w:p w:rsidR="00B96945" w:rsidRDefault="00360313" w:rsidP="00B96945">
      <w:pPr>
        <w:ind w:left="-851"/>
        <w:rPr>
          <w:rFonts w:ascii="Times New Roman" w:hAnsi="Times New Roman" w:cs="Times New Roman"/>
          <w:sz w:val="28"/>
          <w:szCs w:val="28"/>
        </w:rPr>
      </w:pPr>
      <w:r w:rsidRPr="00B96945">
        <w:rPr>
          <w:rFonts w:ascii="Times New Roman" w:hAnsi="Times New Roman" w:cs="Times New Roman"/>
          <w:b/>
          <w:sz w:val="28"/>
          <w:szCs w:val="28"/>
        </w:rPr>
        <w:t xml:space="preserve">Висновок. </w:t>
      </w:r>
      <w:r w:rsidRPr="00B96945">
        <w:rPr>
          <w:rFonts w:ascii="Times New Roman" w:hAnsi="Times New Roman" w:cs="Times New Roman"/>
          <w:sz w:val="28"/>
          <w:szCs w:val="28"/>
        </w:rPr>
        <w:t xml:space="preserve">В ході даної лабораторної роботи ознайомитися з клінічним застосуванням ультразвуку та основними методами регулювання інформативності ультразвукових </w:t>
      </w:r>
      <w:r w:rsidRPr="00B96945">
        <w:rPr>
          <w:rFonts w:ascii="Times New Roman" w:hAnsi="Times New Roman" w:cs="Times New Roman"/>
          <w:sz w:val="28"/>
          <w:szCs w:val="28"/>
        </w:rPr>
        <w:lastRenderedPageBreak/>
        <w:t>зображень.</w:t>
      </w:r>
      <w:r w:rsidR="00B96945" w:rsidRPr="00B96945">
        <w:rPr>
          <w:rFonts w:ascii="Times New Roman" w:hAnsi="Times New Roman" w:cs="Times New Roman"/>
          <w:sz w:val="28"/>
          <w:szCs w:val="28"/>
        </w:rPr>
        <w:t xml:space="preserve"> Дослідили залежність середньої яскравості та дисперсії в залежності від коефіцієнту підсилення на різних частотах датчика.  Побудували відповідні </w:t>
      </w:r>
      <w:r w:rsidR="00B96945">
        <w:rPr>
          <w:rFonts w:ascii="Times New Roman" w:hAnsi="Times New Roman" w:cs="Times New Roman"/>
          <w:sz w:val="28"/>
          <w:szCs w:val="28"/>
        </w:rPr>
        <w:t xml:space="preserve">графічні </w:t>
      </w:r>
      <w:r w:rsidR="00B96945" w:rsidRPr="00B96945">
        <w:rPr>
          <w:rFonts w:ascii="Times New Roman" w:hAnsi="Times New Roman" w:cs="Times New Roman"/>
          <w:sz w:val="28"/>
          <w:szCs w:val="28"/>
        </w:rPr>
        <w:t>залежності.</w:t>
      </w:r>
    </w:p>
    <w:p w:rsidR="00B96945" w:rsidRDefault="00B96945" w:rsidP="00B96945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Відповіді на контрольні запитання</w:t>
      </w:r>
    </w:p>
    <w:p w:rsidR="00B96945" w:rsidRPr="00B96945" w:rsidRDefault="00B96945" w:rsidP="00B969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6945">
        <w:rPr>
          <w:rFonts w:ascii="TimesNewRoman" w:hAnsi="TimesNewRoman" w:cs="TimesNewRoman"/>
          <w:sz w:val="28"/>
          <w:szCs w:val="28"/>
        </w:rPr>
        <w:t>Типи ультразвукових датчиків, класифікація та клінічне застосування</w:t>
      </w:r>
    </w:p>
    <w:p w:rsidR="004C3A8E" w:rsidRDefault="00B96945" w:rsidP="00B96945">
      <w:pPr>
        <w:ind w:left="-851"/>
        <w:rPr>
          <w:rFonts w:ascii="Times New Roman" w:hAnsi="Times New Roman" w:cs="Times New Roman"/>
          <w:sz w:val="28"/>
          <w:szCs w:val="28"/>
        </w:rPr>
      </w:pPr>
      <w:r w:rsidRPr="00B96945">
        <w:rPr>
          <w:rFonts w:ascii="Times New Roman" w:hAnsi="Times New Roman" w:cs="Times New Roman"/>
          <w:sz w:val="28"/>
          <w:szCs w:val="28"/>
        </w:rPr>
        <w:t>Всі ультразвукові датчики поділяються на механічні та електронні. У механічних сканування здійснюється за рахунок руху випромінювача. В електронних розгортка здійснюється електронним шляхом. Недоліками механічних датчиків є шум, вібрація, вироблені під час руху випромінювача, а також низька роздільна здатність.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945" w:rsidRDefault="004C3A8E" w:rsidP="00B96945">
      <w:pPr>
        <w:ind w:left="-851"/>
        <w:rPr>
          <w:rFonts w:ascii="Times New Roman" w:hAnsi="Times New Roman" w:cs="Times New Roman"/>
          <w:sz w:val="28"/>
          <w:szCs w:val="28"/>
        </w:rPr>
      </w:pPr>
      <w:r w:rsidRPr="004C3A8E">
        <w:rPr>
          <w:rFonts w:ascii="Times New Roman" w:hAnsi="Times New Roman" w:cs="Times New Roman"/>
          <w:sz w:val="28"/>
          <w:szCs w:val="28"/>
        </w:rPr>
        <w:t xml:space="preserve">Лінійні датчики використовують частоту 5-15 Мгц. Перевагою лінійного датчика є повна відповідність досліджуваного органу положенню самого </w:t>
      </w:r>
      <w:proofErr w:type="spellStart"/>
      <w:r w:rsidRPr="004C3A8E">
        <w:rPr>
          <w:rFonts w:ascii="Times New Roman" w:hAnsi="Times New Roman" w:cs="Times New Roman"/>
          <w:sz w:val="28"/>
          <w:szCs w:val="28"/>
        </w:rPr>
        <w:t>трансдюсора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 на поверхні тіла</w:t>
      </w:r>
      <w:r>
        <w:rPr>
          <w:rFonts w:ascii="Times New Roman" w:hAnsi="Times New Roman" w:cs="Times New Roman"/>
          <w:sz w:val="28"/>
          <w:szCs w:val="28"/>
        </w:rPr>
        <w:t xml:space="preserve">. Недолік: </w:t>
      </w:r>
      <w:r w:rsidRPr="004C3A8E">
        <w:rPr>
          <w:rFonts w:ascii="Times New Roman" w:hAnsi="Times New Roman" w:cs="Times New Roman"/>
          <w:sz w:val="28"/>
          <w:szCs w:val="28"/>
        </w:rPr>
        <w:t xml:space="preserve">складність забезпечення рівномірного прилягання поверхні </w:t>
      </w:r>
      <w:proofErr w:type="spellStart"/>
      <w:r w:rsidRPr="004C3A8E">
        <w:rPr>
          <w:rFonts w:ascii="Times New Roman" w:hAnsi="Times New Roman" w:cs="Times New Roman"/>
          <w:sz w:val="28"/>
          <w:szCs w:val="28"/>
        </w:rPr>
        <w:t>трансдюсора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 до шкіри пацієнта, що призводить до спотворень од</w:t>
      </w:r>
      <w:r>
        <w:rPr>
          <w:rFonts w:ascii="Times New Roman" w:hAnsi="Times New Roman" w:cs="Times New Roman"/>
          <w:sz w:val="28"/>
          <w:szCs w:val="28"/>
        </w:rPr>
        <w:t xml:space="preserve">ержуваного зображення по краях, </w:t>
      </w:r>
      <w:r w:rsidRPr="004C3A8E">
        <w:rPr>
          <w:rFonts w:ascii="Times New Roman" w:hAnsi="Times New Roman" w:cs="Times New Roman"/>
          <w:sz w:val="28"/>
          <w:szCs w:val="28"/>
        </w:rPr>
        <w:t>глибина сканування досить мала (не більше 11 см). Використовуються в основному для дослідження поверхнево розташованих структур - щитовидної залози, молочних залоз, невеликих суглобів і м'язів, а також для дослідження судин.</w:t>
      </w:r>
    </w:p>
    <w:p w:rsidR="004C3A8E" w:rsidRDefault="004C3A8E" w:rsidP="00B96945">
      <w:pPr>
        <w:ind w:left="-851"/>
        <w:rPr>
          <w:rFonts w:ascii="Times New Roman" w:hAnsi="Times New Roman" w:cs="Times New Roman"/>
          <w:sz w:val="28"/>
          <w:szCs w:val="28"/>
        </w:rPr>
      </w:pPr>
      <w:proofErr w:type="spellStart"/>
      <w:r w:rsidRPr="004C3A8E">
        <w:rPr>
          <w:rFonts w:ascii="Times New Roman" w:hAnsi="Times New Roman" w:cs="Times New Roman"/>
          <w:sz w:val="28"/>
          <w:szCs w:val="28"/>
        </w:rPr>
        <w:t>Конвексний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 датчик використовує частоту 2,5-7,5 </w:t>
      </w:r>
      <w:proofErr w:type="spellStart"/>
      <w:r w:rsidRPr="004C3A8E">
        <w:rPr>
          <w:rFonts w:ascii="Times New Roman" w:hAnsi="Times New Roman" w:cs="Times New Roman"/>
          <w:sz w:val="28"/>
          <w:szCs w:val="28"/>
        </w:rPr>
        <w:t>МГц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. Має меншу довжину, тому домогтися рівномірності його прилягання до шкіри пацієнта більш просто. Однак при використанні </w:t>
      </w:r>
      <w:proofErr w:type="spellStart"/>
      <w:r w:rsidRPr="004C3A8E">
        <w:rPr>
          <w:rFonts w:ascii="Times New Roman" w:hAnsi="Times New Roman" w:cs="Times New Roman"/>
          <w:sz w:val="28"/>
          <w:szCs w:val="28"/>
        </w:rPr>
        <w:t>конвексних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 датчиків отримується зображення по ширині на кілька сантиметрів більше розмірів самого датчика. Для уточнення анатомічних орієнтирів л</w:t>
      </w:r>
      <w:r>
        <w:rPr>
          <w:rFonts w:ascii="Times New Roman" w:hAnsi="Times New Roman" w:cs="Times New Roman"/>
          <w:sz w:val="28"/>
          <w:szCs w:val="28"/>
        </w:rPr>
        <w:t>ікар зобов'язаний враховувати цю</w:t>
      </w:r>
      <w:r w:rsidRPr="004C3A8E">
        <w:rPr>
          <w:rFonts w:ascii="Times New Roman" w:hAnsi="Times New Roman" w:cs="Times New Roman"/>
          <w:sz w:val="28"/>
          <w:szCs w:val="28"/>
        </w:rPr>
        <w:t xml:space="preserve"> невідповідність. За рахунок меншої частоти глибина сканування сягає 20-25 см. Зазвичай використовується для дослідження глибоко розташованих органів -</w:t>
      </w:r>
      <w:r>
        <w:rPr>
          <w:rFonts w:ascii="Times New Roman" w:hAnsi="Times New Roman" w:cs="Times New Roman"/>
          <w:sz w:val="28"/>
          <w:szCs w:val="28"/>
        </w:rPr>
        <w:t xml:space="preserve"> органи черевної порожнини</w:t>
      </w:r>
      <w:r w:rsidRPr="004C3A8E">
        <w:rPr>
          <w:rFonts w:ascii="Times New Roman" w:hAnsi="Times New Roman" w:cs="Times New Roman"/>
          <w:sz w:val="28"/>
          <w:szCs w:val="28"/>
        </w:rPr>
        <w:t>, сечостатевої системи, тазостегнові суглоби.</w:t>
      </w:r>
    </w:p>
    <w:p w:rsidR="004C3A8E" w:rsidRDefault="004C3A8E" w:rsidP="00B96945">
      <w:pPr>
        <w:ind w:left="-851"/>
        <w:rPr>
          <w:rFonts w:ascii="Times New Roman" w:hAnsi="Times New Roman" w:cs="Times New Roman"/>
          <w:sz w:val="28"/>
          <w:szCs w:val="28"/>
        </w:rPr>
      </w:pPr>
      <w:r w:rsidRPr="004C3A8E">
        <w:rPr>
          <w:rFonts w:ascii="Times New Roman" w:hAnsi="Times New Roman" w:cs="Times New Roman"/>
          <w:sz w:val="28"/>
          <w:szCs w:val="28"/>
        </w:rPr>
        <w:t xml:space="preserve">Секторний датчик працює на частоті 1,5-5 Мгц. Має ще більшу невідповідність між розмірами </w:t>
      </w:r>
      <w:proofErr w:type="spellStart"/>
      <w:r w:rsidRPr="004C3A8E">
        <w:rPr>
          <w:rFonts w:ascii="Times New Roman" w:hAnsi="Times New Roman" w:cs="Times New Roman"/>
          <w:sz w:val="28"/>
          <w:szCs w:val="28"/>
        </w:rPr>
        <w:t>трансдюсора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 і одержуваним зображенням, тому використовується переважно в тих випад</w:t>
      </w:r>
      <w:r>
        <w:rPr>
          <w:rFonts w:ascii="Times New Roman" w:hAnsi="Times New Roman" w:cs="Times New Roman"/>
          <w:sz w:val="28"/>
          <w:szCs w:val="28"/>
        </w:rPr>
        <w:t>ках, коли необхідно з маленької</w:t>
      </w:r>
      <w:r w:rsidRPr="004C3A8E">
        <w:rPr>
          <w:rFonts w:ascii="Times New Roman" w:hAnsi="Times New Roman" w:cs="Times New Roman"/>
          <w:sz w:val="28"/>
          <w:szCs w:val="28"/>
        </w:rPr>
        <w:t xml:space="preserve"> ділянки тіла отримати великий огляд на глибині. Найбільш доцільне використання секторного сканування при дослідженні, наприклад, через міжреберні проміжки. Типовим застосуванням секторного датчика є </w:t>
      </w:r>
      <w:proofErr w:type="spellStart"/>
      <w:r w:rsidRPr="004C3A8E">
        <w:rPr>
          <w:rFonts w:ascii="Times New Roman" w:hAnsi="Times New Roman" w:cs="Times New Roman"/>
          <w:sz w:val="28"/>
          <w:szCs w:val="28"/>
        </w:rPr>
        <w:t>ехокардіоскопія</w:t>
      </w:r>
      <w:proofErr w:type="spellEnd"/>
      <w:r w:rsidRPr="004C3A8E">
        <w:rPr>
          <w:rFonts w:ascii="Times New Roman" w:hAnsi="Times New Roman" w:cs="Times New Roman"/>
          <w:sz w:val="28"/>
          <w:szCs w:val="28"/>
        </w:rPr>
        <w:t xml:space="preserve"> - дослідження серця.</w:t>
      </w:r>
    </w:p>
    <w:p w:rsidR="004C3A8E" w:rsidRPr="004C3A8E" w:rsidRDefault="004C3A8E" w:rsidP="004C3A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C3A8E">
        <w:rPr>
          <w:rFonts w:ascii="TimesNewRoman" w:hAnsi="TimesNewRoman" w:cs="TimesNewRoman"/>
          <w:sz w:val="28"/>
          <w:szCs w:val="28"/>
        </w:rPr>
        <w:t>Принцип ALARA / безпечна діагностика</w:t>
      </w:r>
    </w:p>
    <w:p w:rsidR="00360313" w:rsidRDefault="009820B9" w:rsidP="00360313">
      <w:pPr>
        <w:ind w:left="-851"/>
        <w:rPr>
          <w:rFonts w:ascii="TimesNewRoman" w:hAnsi="TimesNewRoman" w:cs="TimesNewRoman"/>
          <w:sz w:val="28"/>
          <w:szCs w:val="28"/>
        </w:rPr>
      </w:pPr>
      <w:r w:rsidRPr="009820B9">
        <w:rPr>
          <w:rFonts w:ascii="TimesNewRoman" w:hAnsi="TimesNewRoman" w:cs="TimesNewRoman"/>
          <w:sz w:val="28"/>
          <w:szCs w:val="28"/>
        </w:rPr>
        <w:t xml:space="preserve">У світовій практиці протирадіаційного захисту персоналу, для зниження індивідуальних доз опромінення використовується принцип "оптимізації", також ще званий концепцією "ALARA" (скорочення від англійського вираження: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As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Low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As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Reasonably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Achievable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 xml:space="preserve"> - "настільки низько, наскільки розумно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досяжно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>").</w:t>
      </w:r>
      <w:r w:rsidRPr="009820B9">
        <w:t xml:space="preserve"> </w:t>
      </w:r>
      <w:r w:rsidRPr="009820B9">
        <w:rPr>
          <w:rFonts w:ascii="TimesNewRoman" w:hAnsi="TimesNewRoman" w:cs="TimesNewRoman"/>
          <w:sz w:val="28"/>
          <w:szCs w:val="28"/>
        </w:rPr>
        <w:t xml:space="preserve">Даний принцип містить два моменти. По-перше: не слід мінімізувати дози за будь-яку ціну, по-друге підхід ALARA заснований на відсутності спостережуваної </w:t>
      </w:r>
      <w:proofErr w:type="spellStart"/>
      <w:r w:rsidRPr="009820B9">
        <w:rPr>
          <w:rFonts w:ascii="TimesNewRoman" w:hAnsi="TimesNewRoman" w:cs="TimesNewRoman"/>
          <w:sz w:val="28"/>
          <w:szCs w:val="28"/>
        </w:rPr>
        <w:t>порогової</w:t>
      </w:r>
      <w:proofErr w:type="spellEnd"/>
      <w:r w:rsidRPr="009820B9">
        <w:rPr>
          <w:rFonts w:ascii="TimesNewRoman" w:hAnsi="TimesNewRoman" w:cs="TimesNewRoman"/>
          <w:sz w:val="28"/>
          <w:szCs w:val="28"/>
        </w:rPr>
        <w:t xml:space="preserve"> дози для стохастичних ефектів.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9820B9">
        <w:rPr>
          <w:rFonts w:ascii="TimesNewRoman" w:hAnsi="TimesNewRoman" w:cs="TimesNewRoman"/>
          <w:sz w:val="28"/>
          <w:szCs w:val="28"/>
        </w:rPr>
        <w:t xml:space="preserve">Існують різні методи, що застосовуються в рамках процедури </w:t>
      </w:r>
      <w:r w:rsidRPr="009820B9">
        <w:rPr>
          <w:rFonts w:ascii="TimesNewRoman" w:hAnsi="TimesNewRoman" w:cs="TimesNewRoman"/>
          <w:sz w:val="28"/>
          <w:szCs w:val="28"/>
        </w:rPr>
        <w:lastRenderedPageBreak/>
        <w:t>ALARA. Одним з цих методів є аналіз «витрати - вигода»</w:t>
      </w:r>
      <w:r w:rsidR="008501C3">
        <w:rPr>
          <w:rFonts w:ascii="TimesNewRoman" w:hAnsi="TimesNewRoman" w:cs="TimesNewRoman"/>
          <w:sz w:val="28"/>
          <w:szCs w:val="28"/>
        </w:rPr>
        <w:t xml:space="preserve"> (</w:t>
      </w:r>
      <w:proofErr w:type="spellStart"/>
      <w:r w:rsidR="008501C3" w:rsidRPr="008501C3">
        <w:rPr>
          <w:rFonts w:ascii="TimesNewRoman" w:hAnsi="TimesNewRoman" w:cs="TimesNewRoman"/>
          <w:sz w:val="28"/>
          <w:szCs w:val="28"/>
        </w:rPr>
        <w:t>грунтується</w:t>
      </w:r>
      <w:proofErr w:type="spellEnd"/>
      <w:r w:rsidR="008501C3" w:rsidRPr="008501C3">
        <w:rPr>
          <w:rFonts w:ascii="TimesNewRoman" w:hAnsi="TimesNewRoman" w:cs="TimesNewRoman"/>
          <w:sz w:val="28"/>
          <w:szCs w:val="28"/>
        </w:rPr>
        <w:t xml:space="preserve"> на рівнянні, яке визначає найкраще або оптимальне рішення як варіант, що мінімізує загальну вартість, тобто підсумок фінансових витрат і витрат, пов'язаних із заподіянням шкоди здоров'ю.</w:t>
      </w:r>
      <w:r w:rsidR="008501C3">
        <w:rPr>
          <w:rFonts w:ascii="TimesNewRoman" w:hAnsi="TimesNewRoman" w:cs="TimesNewRoman"/>
          <w:sz w:val="28"/>
          <w:szCs w:val="28"/>
        </w:rPr>
        <w:t>)</w:t>
      </w:r>
      <w:r w:rsidRPr="009820B9">
        <w:rPr>
          <w:rFonts w:ascii="TimesNewRoman" w:hAnsi="TimesNewRoman" w:cs="TimesNewRoman"/>
          <w:sz w:val="28"/>
          <w:szCs w:val="28"/>
        </w:rPr>
        <w:t>.</w:t>
      </w:r>
      <w:r w:rsidR="008501C3" w:rsidRPr="008501C3">
        <w:t xml:space="preserve"> </w:t>
      </w:r>
      <w:r w:rsidR="008501C3" w:rsidRPr="008501C3">
        <w:rPr>
          <w:rFonts w:ascii="TimesNewRoman" w:hAnsi="TimesNewRoman" w:cs="TimesNewRoman"/>
          <w:sz w:val="28"/>
          <w:szCs w:val="28"/>
        </w:rPr>
        <w:t>Процедура ALARA - це простий перелік кроків, який визначає структуру підходу і вирішення будь-якої задачі радіаційного захисту. Загальна схема, що ілюструє ці кроки, представлена ​​на рис</w:t>
      </w:r>
    </w:p>
    <w:p w:rsidR="008501C3" w:rsidRDefault="008501C3" w:rsidP="0036031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3873500" cy="4051300"/>
            <wp:effectExtent l="19050" t="0" r="0" b="0"/>
            <wp:docPr id="7" name="Рисунок 6" descr="dopc137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pc1373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35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313" w:rsidRPr="00157439" w:rsidRDefault="008501C3" w:rsidP="008501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501C3">
        <w:rPr>
          <w:rFonts w:ascii="TimesNewRoman" w:hAnsi="TimesNewRoman" w:cs="TimesNewRoman"/>
          <w:sz w:val="28"/>
          <w:szCs w:val="28"/>
        </w:rPr>
        <w:t>Режими сканування , інформативність для різних областей діагностики.</w:t>
      </w:r>
    </w:p>
    <w:p w:rsidR="00157439" w:rsidRDefault="00157439" w:rsidP="00157439">
      <w:pPr>
        <w:ind w:left="-851"/>
        <w:rPr>
          <w:rFonts w:ascii="Times New Roman" w:hAnsi="Times New Roman" w:cs="Times New Roman"/>
          <w:sz w:val="28"/>
          <w:szCs w:val="28"/>
        </w:rPr>
      </w:pPr>
      <w:r w:rsidRPr="00157439">
        <w:rPr>
          <w:rFonts w:ascii="Times New Roman" w:hAnsi="Times New Roman" w:cs="Times New Roman"/>
          <w:sz w:val="28"/>
          <w:szCs w:val="28"/>
        </w:rPr>
        <w:t>Існує безліч методик візуалізації, що використовуються при діагностичному ультразвуковому скануванні.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439" w:rsidRDefault="00157439" w:rsidP="00157439">
      <w:pPr>
        <w:ind w:left="-851"/>
        <w:rPr>
          <w:rFonts w:ascii="Times New Roman" w:hAnsi="Times New Roman" w:cs="Times New Roman"/>
          <w:sz w:val="28"/>
          <w:szCs w:val="28"/>
        </w:rPr>
      </w:pPr>
      <w:r w:rsidRPr="00157439">
        <w:rPr>
          <w:rFonts w:ascii="Times New Roman" w:hAnsi="Times New Roman" w:cs="Times New Roman"/>
          <w:sz w:val="28"/>
          <w:szCs w:val="28"/>
        </w:rPr>
        <w:t xml:space="preserve">А-режим або «режим амплітуди» - це методика візуалізації, здебільшого представляє історичний інтерес, хоча вона використовується при офтальмологічних дослідженнях і в наші дні. </w:t>
      </w:r>
      <w:r>
        <w:rPr>
          <w:rFonts w:ascii="Times New Roman" w:hAnsi="Times New Roman" w:cs="Times New Roman"/>
          <w:sz w:val="28"/>
          <w:szCs w:val="28"/>
        </w:rPr>
        <w:t>Вона використовує дисплей осцил</w:t>
      </w:r>
      <w:r w:rsidRPr="00157439">
        <w:rPr>
          <w:rFonts w:ascii="Times New Roman" w:hAnsi="Times New Roman" w:cs="Times New Roman"/>
          <w:sz w:val="28"/>
          <w:szCs w:val="28"/>
        </w:rPr>
        <w:t xml:space="preserve">оскопа для відображення інформації про амплітуду відбитого сигналу по вертикальній осі та інформації про відстань до відбиваючої структури по горизонтальній осі. </w:t>
      </w:r>
      <w:r w:rsidR="00A73035" w:rsidRPr="00A73035">
        <w:rPr>
          <w:rFonts w:ascii="Times New Roman" w:hAnsi="Times New Roman" w:cs="Times New Roman"/>
          <w:sz w:val="28"/>
          <w:szCs w:val="28"/>
        </w:rPr>
        <w:t>Немає ніякої картинки, відстань і амплітуда представлені у вигляді графіка.</w:t>
      </w:r>
    </w:p>
    <w:p w:rsidR="00A73035" w:rsidRDefault="00B422DD" w:rsidP="00B422DD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 w:rsidRPr="00B422DD">
        <w:rPr>
          <w:rFonts w:ascii="Times New Roman" w:hAnsi="Times New Roman" w:cs="Times New Roman"/>
          <w:sz w:val="28"/>
          <w:szCs w:val="28"/>
        </w:rPr>
        <w:t>В-режим або «режим</w:t>
      </w:r>
      <w:r w:rsidR="00C978F5">
        <w:rPr>
          <w:rFonts w:ascii="Times New Roman" w:hAnsi="Times New Roman" w:cs="Times New Roman"/>
          <w:sz w:val="28"/>
          <w:szCs w:val="28"/>
        </w:rPr>
        <w:t xml:space="preserve"> яскравості»</w:t>
      </w:r>
      <w:r w:rsidRPr="00B422DD">
        <w:rPr>
          <w:rFonts w:ascii="Times New Roman" w:hAnsi="Times New Roman" w:cs="Times New Roman"/>
          <w:sz w:val="28"/>
          <w:szCs w:val="28"/>
        </w:rPr>
        <w:t xml:space="preserve"> - це методика, </w:t>
      </w:r>
      <w:r>
        <w:rPr>
          <w:rFonts w:ascii="Times New Roman" w:hAnsi="Times New Roman" w:cs="Times New Roman"/>
          <w:sz w:val="28"/>
          <w:szCs w:val="28"/>
        </w:rPr>
        <w:t xml:space="preserve">яка використовується </w:t>
      </w:r>
      <w:r w:rsidRPr="00B422DD">
        <w:rPr>
          <w:rFonts w:ascii="Times New Roman" w:hAnsi="Times New Roman" w:cs="Times New Roman"/>
          <w:sz w:val="28"/>
          <w:szCs w:val="28"/>
        </w:rPr>
        <w:t xml:space="preserve"> для діагностичної візуалізації.</w:t>
      </w:r>
      <w:r>
        <w:rPr>
          <w:rFonts w:ascii="Times New Roman" w:hAnsi="Times New Roman" w:cs="Times New Roman"/>
          <w:sz w:val="28"/>
          <w:szCs w:val="28"/>
        </w:rPr>
        <w:t xml:space="preserve"> Вона формує двовимірне зображення. </w:t>
      </w:r>
      <w:r w:rsidR="00A73035" w:rsidRPr="00A73035">
        <w:rPr>
          <w:rFonts w:ascii="Times New Roman" w:hAnsi="Times New Roman" w:cs="Times New Roman"/>
          <w:sz w:val="28"/>
          <w:szCs w:val="28"/>
        </w:rPr>
        <w:t xml:space="preserve">Сканування у В-режимі перетворює амплітудні характеристики в зображення шляхом використання </w:t>
      </w:r>
      <w:proofErr w:type="spellStart"/>
      <w:r w:rsidR="00A73035" w:rsidRPr="00A73035">
        <w:rPr>
          <w:rFonts w:ascii="Times New Roman" w:hAnsi="Times New Roman" w:cs="Times New Roman"/>
          <w:sz w:val="28"/>
          <w:szCs w:val="28"/>
        </w:rPr>
        <w:t>сірошкально</w:t>
      </w:r>
      <w:r w:rsidR="00A730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73035">
        <w:rPr>
          <w:rFonts w:ascii="Times New Roman" w:hAnsi="Times New Roman" w:cs="Times New Roman"/>
          <w:sz w:val="28"/>
          <w:szCs w:val="28"/>
        </w:rPr>
        <w:t xml:space="preserve"> конвертера</w:t>
      </w:r>
      <w:r w:rsidR="00A73035" w:rsidRPr="00A73035">
        <w:rPr>
          <w:rFonts w:ascii="Times New Roman" w:hAnsi="Times New Roman" w:cs="Times New Roman"/>
          <w:sz w:val="28"/>
          <w:szCs w:val="28"/>
        </w:rPr>
        <w:t xml:space="preserve">. Більшість сканерів в даний час будують зображення з 256 градаціями сірого, дозволяючи </w:t>
      </w:r>
      <w:proofErr w:type="spellStart"/>
      <w:r w:rsidR="00A73035" w:rsidRPr="00A73035">
        <w:rPr>
          <w:rFonts w:ascii="Times New Roman" w:hAnsi="Times New Roman" w:cs="Times New Roman"/>
          <w:sz w:val="28"/>
          <w:szCs w:val="28"/>
        </w:rPr>
        <w:t>візуалізувати</w:t>
      </w:r>
      <w:proofErr w:type="spellEnd"/>
      <w:r w:rsidR="00A73035" w:rsidRPr="00A73035">
        <w:rPr>
          <w:rFonts w:ascii="Times New Roman" w:hAnsi="Times New Roman" w:cs="Times New Roman"/>
          <w:sz w:val="28"/>
          <w:szCs w:val="28"/>
        </w:rPr>
        <w:t xml:space="preserve"> тонкі відмінності в тканинах / структурах. Як було відмічено, привласнення відтінку сірого кожному </w:t>
      </w:r>
      <w:proofErr w:type="spellStart"/>
      <w:r w:rsidR="00A73035" w:rsidRPr="00A73035">
        <w:rPr>
          <w:rFonts w:ascii="Times New Roman" w:hAnsi="Times New Roman" w:cs="Times New Roman"/>
          <w:sz w:val="28"/>
          <w:szCs w:val="28"/>
        </w:rPr>
        <w:t>пікселю</w:t>
      </w:r>
      <w:proofErr w:type="spellEnd"/>
      <w:r w:rsidR="00A73035" w:rsidRPr="00A7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035" w:rsidRPr="00A73035">
        <w:rPr>
          <w:rFonts w:ascii="Times New Roman" w:hAnsi="Times New Roman" w:cs="Times New Roman"/>
          <w:sz w:val="28"/>
          <w:szCs w:val="28"/>
        </w:rPr>
        <w:t>грунтується</w:t>
      </w:r>
      <w:proofErr w:type="spellEnd"/>
      <w:r w:rsidR="00A73035" w:rsidRPr="00A73035">
        <w:rPr>
          <w:rFonts w:ascii="Times New Roman" w:hAnsi="Times New Roman" w:cs="Times New Roman"/>
          <w:sz w:val="28"/>
          <w:szCs w:val="28"/>
        </w:rPr>
        <w:t xml:space="preserve"> на амплітуді сигналу відбитої хвилі від даної </w:t>
      </w:r>
      <w:proofErr w:type="spellStart"/>
      <w:r w:rsidR="00A73035" w:rsidRPr="00A73035">
        <w:rPr>
          <w:rFonts w:ascii="Times New Roman" w:hAnsi="Times New Roman" w:cs="Times New Roman"/>
          <w:sz w:val="28"/>
          <w:szCs w:val="28"/>
        </w:rPr>
        <w:t>точки.</w:t>
      </w:r>
      <w:proofErr w:type="spellEnd"/>
    </w:p>
    <w:p w:rsidR="00B422DD" w:rsidRDefault="00B422DD" w:rsidP="00B422DD">
      <w:pPr>
        <w:ind w:left="-851"/>
        <w:rPr>
          <w:rFonts w:ascii="Times New Roman" w:hAnsi="Times New Roman" w:cs="Times New Roman"/>
          <w:sz w:val="28"/>
          <w:szCs w:val="28"/>
        </w:rPr>
      </w:pPr>
      <w:r w:rsidRPr="00B422DD">
        <w:rPr>
          <w:rFonts w:ascii="Times New Roman" w:hAnsi="Times New Roman" w:cs="Times New Roman"/>
          <w:sz w:val="28"/>
          <w:szCs w:val="28"/>
        </w:rPr>
        <w:lastRenderedPageBreak/>
        <w:t>Сканування в М-режимі («час-рух»). При цій методиці генерується слід «час рух», який реєструє рух в часі таких відбиваючих звук структур, як клапани серця і міокард.</w:t>
      </w:r>
    </w:p>
    <w:p w:rsidR="00C978F5" w:rsidRPr="00B422DD" w:rsidRDefault="00C978F5" w:rsidP="00B422DD">
      <w:pPr>
        <w:ind w:left="-851"/>
        <w:rPr>
          <w:rFonts w:ascii="Times New Roman" w:hAnsi="Times New Roman" w:cs="Times New Roman"/>
          <w:sz w:val="28"/>
          <w:szCs w:val="28"/>
        </w:rPr>
      </w:pPr>
      <w:r w:rsidRPr="00C978F5">
        <w:rPr>
          <w:rFonts w:ascii="Times New Roman" w:hAnsi="Times New Roman" w:cs="Times New Roman"/>
          <w:sz w:val="28"/>
          <w:szCs w:val="28"/>
        </w:rPr>
        <w:t xml:space="preserve">D-режим або «допплерівський режим» - це методика візуалізації, яка </w:t>
      </w:r>
      <w:proofErr w:type="spellStart"/>
      <w:r w:rsidRPr="00C978F5">
        <w:rPr>
          <w:rFonts w:ascii="Times New Roman" w:hAnsi="Times New Roman" w:cs="Times New Roman"/>
          <w:sz w:val="28"/>
          <w:szCs w:val="28"/>
        </w:rPr>
        <w:t>грунтується</w:t>
      </w:r>
      <w:proofErr w:type="spellEnd"/>
      <w:r w:rsidRPr="00C978F5">
        <w:rPr>
          <w:rFonts w:ascii="Times New Roman" w:hAnsi="Times New Roman" w:cs="Times New Roman"/>
          <w:sz w:val="28"/>
          <w:szCs w:val="28"/>
        </w:rPr>
        <w:t xml:space="preserve"> на принципі допплерівського / частотного зсуву.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Доплерівський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ультразвуковий</w:t>
      </w:r>
      <w:r w:rsidRPr="00C978F5">
        <w:rPr>
          <w:rFonts w:ascii="Times New Roman" w:hAnsi="Times New Roman" w:cs="Times New Roman"/>
          <w:sz w:val="28"/>
          <w:szCs w:val="28"/>
        </w:rPr>
        <w:t xml:space="preserve"> сигнал може визначити, </w:t>
      </w:r>
      <w:r>
        <w:rPr>
          <w:rFonts w:ascii="Times New Roman" w:hAnsi="Times New Roman" w:cs="Times New Roman"/>
          <w:sz w:val="28"/>
          <w:szCs w:val="28"/>
        </w:rPr>
        <w:t xml:space="preserve">чи рухаються </w:t>
      </w:r>
      <w:r w:rsidRPr="00C978F5">
        <w:rPr>
          <w:rFonts w:ascii="Times New Roman" w:hAnsi="Times New Roman" w:cs="Times New Roman"/>
          <w:sz w:val="28"/>
          <w:szCs w:val="28"/>
        </w:rPr>
        <w:t xml:space="preserve">структури, від яких відбиваються ультразвукові хвилі, до датчика або від датчика. Результати представляються або у вигляді змін кольору (колірний </w:t>
      </w:r>
      <w:proofErr w:type="spellStart"/>
      <w:r w:rsidRPr="00C978F5">
        <w:rPr>
          <w:rFonts w:ascii="Times New Roman" w:hAnsi="Times New Roman" w:cs="Times New Roman"/>
          <w:sz w:val="28"/>
          <w:szCs w:val="28"/>
        </w:rPr>
        <w:t>доплер</w:t>
      </w:r>
      <w:proofErr w:type="spellEnd"/>
      <w:r w:rsidRPr="00C978F5">
        <w:rPr>
          <w:rFonts w:ascii="Times New Roman" w:hAnsi="Times New Roman" w:cs="Times New Roman"/>
          <w:sz w:val="28"/>
          <w:szCs w:val="28"/>
        </w:rPr>
        <w:t xml:space="preserve">), або у вигляді чутного звуку, або у вигляді графіків (спектральний </w:t>
      </w:r>
      <w:proofErr w:type="spellStart"/>
      <w:r w:rsidRPr="00C978F5">
        <w:rPr>
          <w:rFonts w:ascii="Times New Roman" w:hAnsi="Times New Roman" w:cs="Times New Roman"/>
          <w:sz w:val="28"/>
          <w:szCs w:val="28"/>
        </w:rPr>
        <w:t>допплер</w:t>
      </w:r>
      <w:proofErr w:type="spellEnd"/>
      <w:r w:rsidRPr="00C978F5">
        <w:rPr>
          <w:rFonts w:ascii="Times New Roman" w:hAnsi="Times New Roman" w:cs="Times New Roman"/>
          <w:sz w:val="28"/>
          <w:szCs w:val="28"/>
        </w:rPr>
        <w:t>).</w:t>
      </w:r>
    </w:p>
    <w:p w:rsidR="00157439" w:rsidRPr="00157439" w:rsidRDefault="00157439" w:rsidP="00B422DD">
      <w:pPr>
        <w:ind w:left="-851"/>
        <w:rPr>
          <w:rFonts w:ascii="Times New Roman" w:hAnsi="Times New Roman" w:cs="Times New Roman"/>
          <w:sz w:val="28"/>
          <w:szCs w:val="28"/>
        </w:rPr>
      </w:pPr>
    </w:p>
    <w:sectPr w:rsidR="00157439" w:rsidRPr="00157439" w:rsidSect="001833A9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04F6"/>
    <w:multiLevelType w:val="hybridMultilevel"/>
    <w:tmpl w:val="505E7E98"/>
    <w:lvl w:ilvl="0" w:tplc="D29A1E7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4BF2306"/>
    <w:multiLevelType w:val="hybridMultilevel"/>
    <w:tmpl w:val="91E47370"/>
    <w:lvl w:ilvl="0" w:tplc="BB6252B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33A9"/>
    <w:rsid w:val="00094079"/>
    <w:rsid w:val="00157439"/>
    <w:rsid w:val="001833A9"/>
    <w:rsid w:val="001B31B9"/>
    <w:rsid w:val="002026E8"/>
    <w:rsid w:val="00217D43"/>
    <w:rsid w:val="002748E0"/>
    <w:rsid w:val="002B109E"/>
    <w:rsid w:val="00360313"/>
    <w:rsid w:val="00401A1F"/>
    <w:rsid w:val="004830BF"/>
    <w:rsid w:val="004C3A8E"/>
    <w:rsid w:val="004D7A3D"/>
    <w:rsid w:val="006E5F6A"/>
    <w:rsid w:val="00770F6C"/>
    <w:rsid w:val="008501C3"/>
    <w:rsid w:val="008C0B89"/>
    <w:rsid w:val="0092793A"/>
    <w:rsid w:val="009820B9"/>
    <w:rsid w:val="00A16C3F"/>
    <w:rsid w:val="00A30472"/>
    <w:rsid w:val="00A73035"/>
    <w:rsid w:val="00B422DD"/>
    <w:rsid w:val="00B6175C"/>
    <w:rsid w:val="00B62016"/>
    <w:rsid w:val="00B96945"/>
    <w:rsid w:val="00BC248C"/>
    <w:rsid w:val="00C978F5"/>
    <w:rsid w:val="00CC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3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A5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0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plotArea>
      <c:layout/>
      <c:scatterChart>
        <c:scatterStyle val="smoothMarker"/>
        <c:ser>
          <c:idx val="0"/>
          <c:order val="0"/>
          <c:tx>
            <c:v>3,5 МГц</c:v>
          </c:tx>
          <c:xVal>
            <c:numRef>
              <c:f>Лист1!$A$1:$A$6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48</c:v>
                </c:pt>
                <c:pt idx="3">
                  <c:v>62</c:v>
                </c:pt>
                <c:pt idx="4">
                  <c:v>78</c:v>
                </c:pt>
                <c:pt idx="5">
                  <c:v>98</c:v>
                </c:pt>
              </c:numCache>
            </c:numRef>
          </c:xVal>
          <c:yVal>
            <c:numRef>
              <c:f>Лист1!$B$1:$B$6</c:f>
              <c:numCache>
                <c:formatCode>General</c:formatCode>
                <c:ptCount val="6"/>
                <c:pt idx="0">
                  <c:v>13.3</c:v>
                </c:pt>
                <c:pt idx="1">
                  <c:v>22.87</c:v>
                </c:pt>
                <c:pt idx="2">
                  <c:v>39.92</c:v>
                </c:pt>
                <c:pt idx="3">
                  <c:v>45.4</c:v>
                </c:pt>
                <c:pt idx="4">
                  <c:v>74.77</c:v>
                </c:pt>
                <c:pt idx="5">
                  <c:v>96.5</c:v>
                </c:pt>
              </c:numCache>
            </c:numRef>
          </c:yVal>
          <c:smooth val="1"/>
        </c:ser>
        <c:ser>
          <c:idx val="1"/>
          <c:order val="1"/>
          <c:tx>
            <c:v>2,5 МГц</c:v>
          </c:tx>
          <c:xVal>
            <c:numRef>
              <c:f>Лист1!$D$1:$D$6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48</c:v>
                </c:pt>
                <c:pt idx="3">
                  <c:v>62</c:v>
                </c:pt>
                <c:pt idx="4">
                  <c:v>78</c:v>
                </c:pt>
                <c:pt idx="5">
                  <c:v>98</c:v>
                </c:pt>
              </c:numCache>
            </c:numRef>
          </c:xVal>
          <c:yVal>
            <c:numRef>
              <c:f>Лист1!$E$1:$E$6</c:f>
              <c:numCache>
                <c:formatCode>General</c:formatCode>
                <c:ptCount val="6"/>
                <c:pt idx="0">
                  <c:v>14.61</c:v>
                </c:pt>
                <c:pt idx="1">
                  <c:v>24.03</c:v>
                </c:pt>
                <c:pt idx="2">
                  <c:v>42.230000000000011</c:v>
                </c:pt>
                <c:pt idx="3">
                  <c:v>49.47</c:v>
                </c:pt>
                <c:pt idx="4">
                  <c:v>78.88</c:v>
                </c:pt>
                <c:pt idx="5">
                  <c:v>100.79</c:v>
                </c:pt>
              </c:numCache>
            </c:numRef>
          </c:yVal>
          <c:smooth val="1"/>
        </c:ser>
        <c:ser>
          <c:idx val="2"/>
          <c:order val="2"/>
          <c:tx>
            <c:v>5 МГц</c:v>
          </c:tx>
          <c:xVal>
            <c:numRef>
              <c:f>Лист1!$G$1:$G$6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48</c:v>
                </c:pt>
                <c:pt idx="3">
                  <c:v>62</c:v>
                </c:pt>
                <c:pt idx="4">
                  <c:v>78</c:v>
                </c:pt>
                <c:pt idx="5">
                  <c:v>98</c:v>
                </c:pt>
              </c:numCache>
            </c:numRef>
          </c:xVal>
          <c:yVal>
            <c:numRef>
              <c:f>Лист1!$H$1:$H$6</c:f>
              <c:numCache>
                <c:formatCode>General</c:formatCode>
                <c:ptCount val="6"/>
                <c:pt idx="0">
                  <c:v>11.35000000000001</c:v>
                </c:pt>
                <c:pt idx="1">
                  <c:v>20</c:v>
                </c:pt>
                <c:pt idx="2">
                  <c:v>34.31</c:v>
                </c:pt>
                <c:pt idx="3">
                  <c:v>44.63</c:v>
                </c:pt>
                <c:pt idx="4">
                  <c:v>73.97</c:v>
                </c:pt>
                <c:pt idx="5">
                  <c:v>95.52</c:v>
                </c:pt>
              </c:numCache>
            </c:numRef>
          </c:yVal>
          <c:smooth val="1"/>
        </c:ser>
        <c:axId val="58350592"/>
        <c:axId val="58480128"/>
      </c:scatterChart>
      <c:valAx>
        <c:axId val="58350592"/>
        <c:scaling>
          <c:orientation val="minMax"/>
          <c:max val="110"/>
          <c:min val="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uk-UA" sz="1200"/>
                  <a:t>Коефіцієнт</a:t>
                </a:r>
                <a:r>
                  <a:rPr lang="uk-UA" sz="1200" baseline="0"/>
                  <a:t> підсилення</a:t>
                </a:r>
                <a:endParaRPr lang="uk-UA" sz="1200"/>
              </a:p>
            </c:rich>
          </c:tx>
          <c:layout/>
        </c:title>
        <c:numFmt formatCode="General" sourceLinked="1"/>
        <c:tickLblPos val="nextTo"/>
        <c:crossAx val="58480128"/>
        <c:crosses val="autoZero"/>
        <c:crossBetween val="midCat"/>
        <c:majorUnit val="10"/>
        <c:minorUnit val="1"/>
      </c:valAx>
      <c:valAx>
        <c:axId val="58480128"/>
        <c:scaling>
          <c:orientation val="minMax"/>
          <c:max val="10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uk-UA" sz="1200"/>
                  <a:t>Значення</a:t>
                </a:r>
                <a:r>
                  <a:rPr lang="uk-UA" sz="1200" baseline="0"/>
                  <a:t> яскравості</a:t>
                </a:r>
                <a:endParaRPr lang="uk-UA" sz="1200"/>
              </a:p>
            </c:rich>
          </c:tx>
          <c:layout/>
        </c:title>
        <c:numFmt formatCode="General" sourceLinked="1"/>
        <c:tickLblPos val="nextTo"/>
        <c:crossAx val="58350592"/>
        <c:crosses val="autoZero"/>
        <c:crossBetween val="midCat"/>
        <c:majorUnit val="10"/>
        <c:minorUnit val="1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plotArea>
      <c:layout/>
      <c:scatterChart>
        <c:scatterStyle val="smoothMarker"/>
        <c:ser>
          <c:idx val="0"/>
          <c:order val="0"/>
          <c:tx>
            <c:v>3,5 МГц</c:v>
          </c:tx>
          <c:xVal>
            <c:numRef>
              <c:f>Лист1!$B$10:$B$15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48</c:v>
                </c:pt>
                <c:pt idx="3">
                  <c:v>62</c:v>
                </c:pt>
                <c:pt idx="4">
                  <c:v>78</c:v>
                </c:pt>
                <c:pt idx="5">
                  <c:v>98</c:v>
                </c:pt>
              </c:numCache>
            </c:numRef>
          </c:xVal>
          <c:yVal>
            <c:numRef>
              <c:f>Лист1!$C$10:$C$15</c:f>
              <c:numCache>
                <c:formatCode>General</c:formatCode>
                <c:ptCount val="6"/>
                <c:pt idx="0">
                  <c:v>17.279999999999987</c:v>
                </c:pt>
                <c:pt idx="1">
                  <c:v>23.37</c:v>
                </c:pt>
                <c:pt idx="2">
                  <c:v>30.52</c:v>
                </c:pt>
                <c:pt idx="3">
                  <c:v>40.6</c:v>
                </c:pt>
                <c:pt idx="4">
                  <c:v>49.56</c:v>
                </c:pt>
                <c:pt idx="5">
                  <c:v>57.7</c:v>
                </c:pt>
              </c:numCache>
            </c:numRef>
          </c:yVal>
          <c:smooth val="1"/>
        </c:ser>
        <c:ser>
          <c:idx val="1"/>
          <c:order val="1"/>
          <c:tx>
            <c:v>2,5 МГц</c:v>
          </c:tx>
          <c:xVal>
            <c:numRef>
              <c:f>Лист1!$E$10:$E$15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48</c:v>
                </c:pt>
                <c:pt idx="3">
                  <c:v>62</c:v>
                </c:pt>
                <c:pt idx="4">
                  <c:v>78</c:v>
                </c:pt>
                <c:pt idx="5">
                  <c:v>98</c:v>
                </c:pt>
              </c:numCache>
            </c:numRef>
          </c:xVal>
          <c:yVal>
            <c:numRef>
              <c:f>Лист1!$F$10:$F$15</c:f>
              <c:numCache>
                <c:formatCode>General</c:formatCode>
                <c:ptCount val="6"/>
                <c:pt idx="0">
                  <c:v>18.100000000000001</c:v>
                </c:pt>
                <c:pt idx="1">
                  <c:v>24.18</c:v>
                </c:pt>
                <c:pt idx="2">
                  <c:v>31.439999999999987</c:v>
                </c:pt>
                <c:pt idx="3">
                  <c:v>43.1</c:v>
                </c:pt>
                <c:pt idx="4">
                  <c:v>52.98</c:v>
                </c:pt>
                <c:pt idx="5">
                  <c:v>61.28</c:v>
                </c:pt>
              </c:numCache>
            </c:numRef>
          </c:yVal>
          <c:smooth val="1"/>
        </c:ser>
        <c:ser>
          <c:idx val="2"/>
          <c:order val="2"/>
          <c:tx>
            <c:v>5 МГц</c:v>
          </c:tx>
          <c:xVal>
            <c:numRef>
              <c:f>Лист1!$H$10:$H$15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48</c:v>
                </c:pt>
                <c:pt idx="3">
                  <c:v>62</c:v>
                </c:pt>
                <c:pt idx="4">
                  <c:v>78</c:v>
                </c:pt>
                <c:pt idx="5">
                  <c:v>98</c:v>
                </c:pt>
              </c:numCache>
            </c:numRef>
          </c:xVal>
          <c:yVal>
            <c:numRef>
              <c:f>Лист1!$I$10:$I$15</c:f>
              <c:numCache>
                <c:formatCode>General</c:formatCode>
                <c:ptCount val="6"/>
                <c:pt idx="0">
                  <c:v>16.88</c:v>
                </c:pt>
                <c:pt idx="1">
                  <c:v>23.18</c:v>
                </c:pt>
                <c:pt idx="2">
                  <c:v>30.779999999999987</c:v>
                </c:pt>
                <c:pt idx="3">
                  <c:v>39.220000000000013</c:v>
                </c:pt>
                <c:pt idx="4">
                  <c:v>47.52</c:v>
                </c:pt>
                <c:pt idx="5">
                  <c:v>55.96</c:v>
                </c:pt>
              </c:numCache>
            </c:numRef>
          </c:yVal>
          <c:smooth val="1"/>
        </c:ser>
        <c:axId val="58497664"/>
        <c:axId val="58512128"/>
      </c:scatterChart>
      <c:valAx>
        <c:axId val="58497664"/>
        <c:scaling>
          <c:orientation val="minMax"/>
          <c:max val="110"/>
          <c:min val="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uk-UA" sz="1200"/>
                  <a:t>Коефіцієнт</a:t>
                </a:r>
                <a:r>
                  <a:rPr lang="uk-UA" sz="1200" baseline="0"/>
                  <a:t> підсилення</a:t>
                </a:r>
                <a:endParaRPr lang="uk-UA" sz="1200"/>
              </a:p>
            </c:rich>
          </c:tx>
          <c:layout/>
        </c:title>
        <c:numFmt formatCode="General" sourceLinked="1"/>
        <c:tickLblPos val="nextTo"/>
        <c:crossAx val="58512128"/>
        <c:crosses val="autoZero"/>
        <c:crossBetween val="midCat"/>
        <c:majorUnit val="10"/>
        <c:minorUnit val="1"/>
      </c:valAx>
      <c:valAx>
        <c:axId val="58512128"/>
        <c:scaling>
          <c:orientation val="minMax"/>
          <c:max val="7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uk-UA" sz="1200"/>
                  <a:t>Дисперсія</a:t>
                </a:r>
              </a:p>
            </c:rich>
          </c:tx>
          <c:layout/>
        </c:title>
        <c:numFmt formatCode="General" sourceLinked="1"/>
        <c:tickLblPos val="nextTo"/>
        <c:crossAx val="58497664"/>
        <c:crosses val="autoZero"/>
        <c:crossBetween val="midCat"/>
        <c:majorUnit val="10"/>
        <c:minorUnit val="1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446A-EF92-417E-9A44-E47BCB588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5026</Words>
  <Characters>2865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5</cp:revision>
  <dcterms:created xsi:type="dcterms:W3CDTF">2012-02-27T18:20:00Z</dcterms:created>
  <dcterms:modified xsi:type="dcterms:W3CDTF">2012-03-04T13:25:00Z</dcterms:modified>
</cp:coreProperties>
</file>